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4F8C" w14:textId="11F6DF83" w:rsidR="00E0299B" w:rsidRDefault="00E0299B" w:rsidP="00E0299B">
      <w:pPr>
        <w:rPr>
          <w:rFonts w:ascii="Sylfaen" w:hAnsi="Sylfaen" w:cs="Sylfaen"/>
          <w:color w:val="000000"/>
          <w:sz w:val="23"/>
          <w:szCs w:val="23"/>
        </w:rPr>
      </w:pPr>
    </w:p>
    <w:p w14:paraId="46E94E2D" w14:textId="7F68E6EA" w:rsidR="009F3C3D" w:rsidRDefault="009F3C3D" w:rsidP="00E0299B">
      <w:pPr>
        <w:rPr>
          <w:rFonts w:ascii="Sylfaen" w:hAnsi="Sylfaen" w:cs="Sylfaen"/>
          <w:color w:val="000000"/>
          <w:sz w:val="23"/>
          <w:szCs w:val="23"/>
        </w:rPr>
      </w:pPr>
    </w:p>
    <w:p w14:paraId="766FA5A7" w14:textId="77777777" w:rsidR="009F3C3D" w:rsidRDefault="009F3C3D" w:rsidP="00E0299B">
      <w:pPr>
        <w:rPr>
          <w:rFonts w:ascii="Sylfaen" w:hAnsi="Sylfaen" w:cs="Sylfaen"/>
          <w:color w:val="000000"/>
          <w:sz w:val="23"/>
          <w:szCs w:val="23"/>
        </w:rPr>
      </w:pPr>
    </w:p>
    <w:p w14:paraId="13EEC132" w14:textId="77777777" w:rsidR="00E0299B" w:rsidRDefault="00E0299B" w:rsidP="00E0299B">
      <w:pPr>
        <w:pStyle w:val="Default"/>
      </w:pPr>
    </w:p>
    <w:p w14:paraId="49765276" w14:textId="4F43B6E7" w:rsidR="00E0299B" w:rsidRDefault="00E0299B" w:rsidP="00E029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ՀԻՄՆԱՎՈՐՈՒՄ</w:t>
      </w:r>
    </w:p>
    <w:p w14:paraId="73CC91B5" w14:textId="77777777" w:rsidR="00E0299B" w:rsidRDefault="00E0299B" w:rsidP="00E0299B">
      <w:pPr>
        <w:pStyle w:val="Default"/>
        <w:jc w:val="center"/>
        <w:rPr>
          <w:sz w:val="23"/>
          <w:szCs w:val="23"/>
        </w:rPr>
      </w:pPr>
    </w:p>
    <w:p w14:paraId="5B4654A7" w14:textId="0D647246" w:rsidR="00E0299B" w:rsidRDefault="00E0299B" w:rsidP="005F16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</w:t>
      </w:r>
      <w:r w:rsidR="00DD0464">
        <w:rPr>
          <w:sz w:val="23"/>
          <w:szCs w:val="23"/>
          <w:lang w:val="hy-AM"/>
        </w:rPr>
        <w:t xml:space="preserve">ՎԱՐԴԵՆԻՍ </w:t>
      </w:r>
      <w:r>
        <w:rPr>
          <w:sz w:val="23"/>
          <w:szCs w:val="23"/>
        </w:rPr>
        <w:t>ՀԱՄԱՅՆՔԻ ՍԵՓԱԿԱՆՈՒԹՅՈՒՆ ՀԱՆԴԻՍԱՑՈՂ ՀՈՂԵՐԻ ԿԱՌԱՎԱՐՄԱՆ 2</w:t>
      </w:r>
      <w:r w:rsidR="005F169B">
        <w:rPr>
          <w:sz w:val="23"/>
          <w:szCs w:val="23"/>
          <w:lang w:val="hy-AM"/>
        </w:rPr>
        <w:t xml:space="preserve">023 </w:t>
      </w:r>
      <w:r>
        <w:rPr>
          <w:sz w:val="23"/>
          <w:szCs w:val="23"/>
        </w:rPr>
        <w:t>ԹՎԱԿԱՆԻ (ԱՄԵՆԱՄՅԱ) ԾՐԱԳԻՐԸ ՀԱՍՏԱՏԵԼՈՒ ՄԱՍԻՆ» ՀԱՄԱՅՆՔԻ ԱՎԱԳԱՆՈՒ ՈՐՈՇՄԱՆ ՆԱԽԱԳԾԻ ԸՆԴՈՒՆՄԱՆ ԱՆՀՐԱԺԵՇՏՈՒԹՅԱՆ ՎԵՐԱԲԵՐՅԱԼ</w:t>
      </w:r>
    </w:p>
    <w:p w14:paraId="342A7810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օրենքի</w:t>
      </w:r>
      <w:proofErr w:type="spellEnd"/>
      <w:r>
        <w:rPr>
          <w:sz w:val="23"/>
          <w:szCs w:val="23"/>
        </w:rPr>
        <w:t xml:space="preserve"> 43-րդ </w:t>
      </w:r>
      <w:proofErr w:type="spellStart"/>
      <w:r>
        <w:rPr>
          <w:sz w:val="23"/>
          <w:szCs w:val="23"/>
        </w:rPr>
        <w:t>հոդվածով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ղեկավարի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լիազորությունները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հողօգտագործման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բնագավառում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նշված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հոդվածի</w:t>
      </w:r>
      <w:proofErr w:type="spellEnd"/>
      <w:r>
        <w:rPr>
          <w:sz w:val="23"/>
          <w:szCs w:val="23"/>
        </w:rPr>
        <w:t xml:space="preserve"> 1-ին </w:t>
      </w:r>
      <w:proofErr w:type="spellStart"/>
      <w:r>
        <w:rPr>
          <w:sz w:val="23"/>
          <w:szCs w:val="23"/>
        </w:rPr>
        <w:t>մասի</w:t>
      </w:r>
      <w:proofErr w:type="spellEnd"/>
      <w:r>
        <w:rPr>
          <w:sz w:val="23"/>
          <w:szCs w:val="23"/>
        </w:rPr>
        <w:t xml:space="preserve"> 2-րդ </w:t>
      </w:r>
      <w:proofErr w:type="spellStart"/>
      <w:r>
        <w:rPr>
          <w:sz w:val="23"/>
          <w:szCs w:val="23"/>
        </w:rPr>
        <w:t>կետով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սահմանվում</w:t>
      </w:r>
      <w:proofErr w:type="spellEnd"/>
      <w:r>
        <w:rPr>
          <w:sz w:val="23"/>
          <w:szCs w:val="23"/>
        </w:rPr>
        <w:t xml:space="preserve"> է, </w:t>
      </w:r>
      <w:proofErr w:type="spellStart"/>
      <w:r>
        <w:rPr>
          <w:sz w:val="23"/>
          <w:szCs w:val="23"/>
        </w:rPr>
        <w:t>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ղեկավարը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մշակում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կազմում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հնգամյա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կազմում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հնգամյա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զարգացման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բաղկացուցիչ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մասը</w:t>
      </w:r>
      <w:proofErr w:type="spellEnd"/>
      <w:r>
        <w:rPr>
          <w:sz w:val="23"/>
          <w:szCs w:val="23"/>
        </w:rPr>
        <w:t xml:space="preserve">, և </w:t>
      </w:r>
      <w:proofErr w:type="spellStart"/>
      <w:r>
        <w:rPr>
          <w:sz w:val="23"/>
          <w:szCs w:val="23"/>
        </w:rPr>
        <w:t>դրանք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ներկայացնում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ավագանու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հաստատմանը</w:t>
      </w:r>
      <w:proofErr w:type="spellEnd"/>
      <w:r>
        <w:rPr>
          <w:sz w:val="23"/>
          <w:szCs w:val="23"/>
        </w:rPr>
        <w:t xml:space="preserve">: </w:t>
      </w:r>
    </w:p>
    <w:p w14:paraId="5C4CDF25" w14:textId="4B9CA939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Սույն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հիմնավորման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դրված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նախագիծը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այսուհետ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Նախագիծ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որով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կարգավորվելու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2</w:t>
      </w:r>
      <w:r w:rsidR="005F169B">
        <w:rPr>
          <w:sz w:val="23"/>
          <w:szCs w:val="23"/>
          <w:lang w:val="hy-AM"/>
        </w:rPr>
        <w:t xml:space="preserve">023 </w:t>
      </w:r>
      <w:proofErr w:type="spellStart"/>
      <w:r>
        <w:rPr>
          <w:sz w:val="23"/>
          <w:szCs w:val="23"/>
        </w:rPr>
        <w:t>թվականի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ընթացքում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նպատակային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ծրագրային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հարաբերությունները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ներառյալ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գույքագրման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հաշվառման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գնահատման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իրավունքի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գրանցման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աշխատանքների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կազմակերպման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պահպանվածության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նկատմամբ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վերահսկողության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հարաբերությունները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սոցիալ-տնտեսական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զարգացման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բյուջետային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քաղաքականության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ուղղություններով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խնդիրները</w:t>
      </w:r>
      <w:proofErr w:type="spellEnd"/>
      <w:r>
        <w:rPr>
          <w:sz w:val="23"/>
          <w:szCs w:val="23"/>
        </w:rPr>
        <w:t xml:space="preserve">: </w:t>
      </w:r>
    </w:p>
    <w:p w14:paraId="457A8710" w14:textId="79A7F9F8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Նախագիծը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նպատակաուղղված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արդյունավետության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բարձրացման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պաշարների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տիրապետման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տնօրինման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բնագավառում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միասնական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քաղաքականության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սոցիալ-տնտեսական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զարգացման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2</w:t>
      </w:r>
      <w:r w:rsidR="005F169B">
        <w:rPr>
          <w:sz w:val="23"/>
          <w:szCs w:val="23"/>
          <w:lang w:val="hy-AM"/>
        </w:rPr>
        <w:t>022</w:t>
      </w:r>
      <w:r>
        <w:rPr>
          <w:sz w:val="23"/>
          <w:szCs w:val="23"/>
        </w:rPr>
        <w:t xml:space="preserve"> - 20</w:t>
      </w:r>
      <w:r w:rsidR="005F169B">
        <w:rPr>
          <w:sz w:val="23"/>
          <w:szCs w:val="23"/>
          <w:lang w:val="hy-AM"/>
        </w:rPr>
        <w:t>26</w:t>
      </w:r>
      <w:proofErr w:type="spellStart"/>
      <w:r>
        <w:rPr>
          <w:sz w:val="23"/>
          <w:szCs w:val="23"/>
        </w:rPr>
        <w:t>թթ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հնգամյա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զարգացման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խնդիրների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լուծմանը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հանդիսանում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հնգամյա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զարգացման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բաղկացուցիչ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մասը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Իրավակիրառական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պրակտիկայում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ընթացիկ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իրավիճակն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այսպիսին</w:t>
      </w:r>
      <w:proofErr w:type="spellEnd"/>
      <w:r>
        <w:rPr>
          <w:sz w:val="23"/>
          <w:szCs w:val="23"/>
        </w:rPr>
        <w:t xml:space="preserve"> է, </w:t>
      </w:r>
      <w:proofErr w:type="spellStart"/>
      <w:r>
        <w:rPr>
          <w:sz w:val="23"/>
          <w:szCs w:val="23"/>
        </w:rPr>
        <w:t>համայնքում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չկան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մշակված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ընդունված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այնպես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հնգամյա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ծրագրերը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Այս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համատեքստում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բաց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մնում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քաղաքականությունը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հերթին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ստեղծում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բավականին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լուրջ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խնդիրներ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մասնավորապես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պլանավորման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իմաստով</w:t>
      </w:r>
      <w:proofErr w:type="spellEnd"/>
      <w:r>
        <w:rPr>
          <w:sz w:val="23"/>
          <w:szCs w:val="23"/>
        </w:rPr>
        <w:t xml:space="preserve">: </w:t>
      </w:r>
    </w:p>
    <w:p w14:paraId="089C3E24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հանձնված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կամ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նույնն</w:t>
      </w:r>
      <w:proofErr w:type="spellEnd"/>
      <w:r>
        <w:rPr>
          <w:sz w:val="23"/>
          <w:szCs w:val="23"/>
        </w:rPr>
        <w:t xml:space="preserve"> է՝ </w:t>
      </w:r>
      <w:proofErr w:type="spellStart"/>
      <w:r>
        <w:rPr>
          <w:sz w:val="23"/>
          <w:szCs w:val="23"/>
        </w:rPr>
        <w:t>պատվիրակված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համարվում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զարգացման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նախադրյալներից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մեկը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ամրագրված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պարտադիր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խնդիրները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սահմանող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օրենքի</w:t>
      </w:r>
      <w:proofErr w:type="spellEnd"/>
      <w:r>
        <w:rPr>
          <w:sz w:val="23"/>
          <w:szCs w:val="23"/>
        </w:rPr>
        <w:t xml:space="preserve"> 12-րդ </w:t>
      </w:r>
      <w:proofErr w:type="spellStart"/>
      <w:r>
        <w:rPr>
          <w:sz w:val="23"/>
          <w:szCs w:val="23"/>
        </w:rPr>
        <w:t>հոդվածով</w:t>
      </w:r>
      <w:proofErr w:type="spellEnd"/>
      <w:r>
        <w:rPr>
          <w:sz w:val="23"/>
          <w:szCs w:val="23"/>
        </w:rPr>
        <w:t xml:space="preserve">: </w:t>
      </w:r>
    </w:p>
    <w:p w14:paraId="6D08AFEF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Հարկ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արձանագրել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Սահմանադրության</w:t>
      </w:r>
      <w:proofErr w:type="spellEnd"/>
      <w:r>
        <w:rPr>
          <w:sz w:val="23"/>
          <w:szCs w:val="23"/>
        </w:rPr>
        <w:t xml:space="preserve"> 184-րդ </w:t>
      </w:r>
      <w:proofErr w:type="spellStart"/>
      <w:r>
        <w:rPr>
          <w:sz w:val="23"/>
          <w:szCs w:val="23"/>
        </w:rPr>
        <w:t>հոդվածը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կարգորոշումներ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սահմանել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դրա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տնօրինման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իրավահարաբերությունների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մասով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Համաձայն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մեջբերված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lastRenderedPageBreak/>
        <w:t>սահմանադրական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նորմի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տարածքում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գտնվող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հողը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բացառությամբ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պետությանը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ֆիզիկական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իրավաբանական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անձանց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պատկանող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համարվում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: Ի </w:t>
      </w:r>
      <w:proofErr w:type="spellStart"/>
      <w:r>
        <w:rPr>
          <w:sz w:val="23"/>
          <w:szCs w:val="23"/>
        </w:rPr>
        <w:t>լրումն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նշված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սահմանադրական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նույն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հոդվածի</w:t>
      </w:r>
      <w:proofErr w:type="spellEnd"/>
      <w:r>
        <w:rPr>
          <w:sz w:val="23"/>
          <w:szCs w:val="23"/>
        </w:rPr>
        <w:t xml:space="preserve"> 3-րդ </w:t>
      </w:r>
      <w:proofErr w:type="spellStart"/>
      <w:r>
        <w:rPr>
          <w:sz w:val="23"/>
          <w:szCs w:val="23"/>
        </w:rPr>
        <w:t>մասով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նախատեսված</w:t>
      </w:r>
      <w:proofErr w:type="spellEnd"/>
      <w:r>
        <w:rPr>
          <w:sz w:val="23"/>
          <w:szCs w:val="23"/>
        </w:rPr>
        <w:t xml:space="preserve"> է, </w:t>
      </w:r>
      <w:proofErr w:type="spellStart"/>
      <w:r>
        <w:rPr>
          <w:sz w:val="23"/>
          <w:szCs w:val="23"/>
        </w:rPr>
        <w:t>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օրենքով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տնօրինում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ավագանին</w:t>
      </w:r>
      <w:proofErr w:type="spellEnd"/>
      <w:r>
        <w:rPr>
          <w:sz w:val="23"/>
          <w:szCs w:val="23"/>
        </w:rPr>
        <w:t xml:space="preserve">: </w:t>
      </w:r>
    </w:p>
    <w:p w14:paraId="5069D726" w14:textId="0EEA061A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Ըստ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էության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սահմանադիրը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տնօրինման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կամ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նույնն</w:t>
      </w:r>
      <w:proofErr w:type="spellEnd"/>
      <w:r>
        <w:rPr>
          <w:sz w:val="23"/>
          <w:szCs w:val="23"/>
        </w:rPr>
        <w:t xml:space="preserve"> է՝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լիազորությունը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վերապահել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ներկայացուցչական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մարմնին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ավագանուն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Օրենսդրական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մակարդակում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թե</w:t>
      </w:r>
      <w:proofErr w:type="spellEnd"/>
      <w:r>
        <w:rPr>
          <w:sz w:val="23"/>
          <w:szCs w:val="23"/>
        </w:rPr>
        <w:t xml:space="preserve">՛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օրենսգրքի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թե</w:t>
      </w:r>
      <w:proofErr w:type="spellEnd"/>
      <w:r>
        <w:rPr>
          <w:sz w:val="23"/>
          <w:szCs w:val="23"/>
        </w:rPr>
        <w:t>՛ «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կարգավորումների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համատեքստում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ղեկավարը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մշակում</w:t>
      </w:r>
      <w:proofErr w:type="spellEnd"/>
      <w:r>
        <w:rPr>
          <w:sz w:val="23"/>
          <w:szCs w:val="23"/>
        </w:rPr>
        <w:t xml:space="preserve"> և (</w:t>
      </w:r>
      <w:proofErr w:type="spellStart"/>
      <w:r>
        <w:rPr>
          <w:sz w:val="23"/>
          <w:szCs w:val="23"/>
        </w:rPr>
        <w:t>կամ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նախագծում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տիրապետման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տնօրինման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փաստաթղթերը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այդ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թվում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պլանավորում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ենթադրող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փաստաթղթերը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իսկ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վերջնական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հաստատումը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դրանց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իրականացվում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ավագանու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կողմից</w:t>
      </w:r>
      <w:proofErr w:type="spellEnd"/>
      <w:r>
        <w:rPr>
          <w:sz w:val="23"/>
          <w:szCs w:val="23"/>
        </w:rPr>
        <w:t xml:space="preserve">: </w:t>
      </w:r>
    </w:p>
    <w:p w14:paraId="076FB329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Փաստորեն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սահմանադիրը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հղում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տալով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օրենքին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պատվիրակում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ավագանուն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կամ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վերջինիս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վերապահում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իրավունք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պարտականություն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տնօրինել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օրենքով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կարգով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տնօրինման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օրենքը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մասնավորապես</w:t>
      </w:r>
      <w:proofErr w:type="spellEnd"/>
      <w:r>
        <w:rPr>
          <w:sz w:val="23"/>
          <w:szCs w:val="23"/>
        </w:rPr>
        <w:t>՝ «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օրենքը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սահմանել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հստակ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կարգավորումներ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որոնցից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հատկանշական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ղեկավարին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ավագանուն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վերապահելը</w:t>
      </w:r>
      <w:proofErr w:type="spellEnd"/>
      <w:r>
        <w:rPr>
          <w:sz w:val="23"/>
          <w:szCs w:val="23"/>
        </w:rPr>
        <w:t xml:space="preserve">: </w:t>
      </w:r>
    </w:p>
    <w:p w14:paraId="6338EF7A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Վերը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մեջբերվածի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համատեքստում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օրենսդիրը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հանձնված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տնօրինմանը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վերաբերելի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որոշակի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պլանավորում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ենթադրող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փաստաթղթի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հաստատման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լիազորությունը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վերապահել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մարմիններին</w:t>
      </w:r>
      <w:proofErr w:type="spellEnd"/>
      <w:r>
        <w:rPr>
          <w:sz w:val="23"/>
          <w:szCs w:val="23"/>
        </w:rPr>
        <w:t xml:space="preserve">: </w:t>
      </w:r>
    </w:p>
    <w:p w14:paraId="1A481562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ծրագիրը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համարվում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մակարդակում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քաղաքականության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իրագործման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հիմնադրույթային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փաստաթուղթը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նպատակուղղված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կանոնակարգելու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գործողությունները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միևնույն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ժամանակ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հնարավորություն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ստեղծելու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գործընթացների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օրինականությունը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հաշվետվողականությունը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հնարավոր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հանրային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վարչական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վերահսկողության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պատշաճ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կազմակերպումն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իրականացումը</w:t>
      </w:r>
      <w:proofErr w:type="spellEnd"/>
      <w:r>
        <w:rPr>
          <w:sz w:val="23"/>
          <w:szCs w:val="23"/>
        </w:rPr>
        <w:t xml:space="preserve">: </w:t>
      </w:r>
    </w:p>
    <w:p w14:paraId="09302C0E" w14:textId="42F8CD71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Սույն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հիմնավորման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առարկա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հիմքերն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Սահմանադրությունը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հողային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քաղաքացիական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վարչական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իրավախախտումների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վերաբերյալ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օրենսգրքերը</w:t>
      </w:r>
      <w:proofErr w:type="spellEnd"/>
      <w:r>
        <w:rPr>
          <w:sz w:val="23"/>
          <w:szCs w:val="23"/>
        </w:rPr>
        <w:t>, «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>», «</w:t>
      </w:r>
      <w:proofErr w:type="spellStart"/>
      <w:r>
        <w:rPr>
          <w:sz w:val="23"/>
          <w:szCs w:val="23"/>
        </w:rPr>
        <w:t>Գույքի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նկատմամբ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իրավունքների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գրանցման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>», «</w:t>
      </w:r>
      <w:proofErr w:type="spellStart"/>
      <w:r>
        <w:rPr>
          <w:sz w:val="23"/>
          <w:szCs w:val="23"/>
        </w:rPr>
        <w:t>Հրապարակային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սակարկությունների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>», «</w:t>
      </w:r>
      <w:proofErr w:type="spellStart"/>
      <w:r>
        <w:rPr>
          <w:sz w:val="23"/>
          <w:szCs w:val="23"/>
        </w:rPr>
        <w:t>Անշարժ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գույքի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գնահատման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գործունեության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 xml:space="preserve">» ՀՀ </w:t>
      </w:r>
      <w:proofErr w:type="spellStart"/>
      <w:r>
        <w:rPr>
          <w:sz w:val="23"/>
          <w:szCs w:val="23"/>
        </w:rPr>
        <w:t>օրենքները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հարաբերությունները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որոշումները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ավագանու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ղեկավարի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կողմից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ոլորտի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վերաբերյալ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ակտերը</w:t>
      </w:r>
      <w:proofErr w:type="spellEnd"/>
      <w:r>
        <w:rPr>
          <w:sz w:val="23"/>
          <w:szCs w:val="23"/>
        </w:rPr>
        <w:t xml:space="preserve">: </w:t>
      </w:r>
    </w:p>
    <w:p w14:paraId="1816C498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նախանշվում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հանձնված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lastRenderedPageBreak/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հարաբերությունների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առարկան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իրենից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ենթադրում</w:t>
      </w:r>
      <w:proofErr w:type="spellEnd"/>
      <w:r>
        <w:rPr>
          <w:sz w:val="23"/>
          <w:szCs w:val="23"/>
        </w:rPr>
        <w:t xml:space="preserve"> է՝ </w:t>
      </w:r>
    </w:p>
    <w:p w14:paraId="3C80B4D7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հիմնախնդիրների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լուծումը</w:t>
      </w:r>
      <w:proofErr w:type="spellEnd"/>
      <w:r>
        <w:rPr>
          <w:sz w:val="23"/>
          <w:szCs w:val="23"/>
        </w:rPr>
        <w:t xml:space="preserve">. </w:t>
      </w:r>
    </w:p>
    <w:p w14:paraId="30A669BC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հաշվառման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բնագավառում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միասնական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սկզբունքների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սահմանումը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անշարժ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գույքի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հաշվառման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բազայում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ամբողջական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ընդգրկումը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հաշվառման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տվյալների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ճշգրտության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բարձր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մակարդակ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ընտրանքային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ուսումնասիրությունների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անցկացումը</w:t>
      </w:r>
      <w:proofErr w:type="spellEnd"/>
      <w:r>
        <w:rPr>
          <w:sz w:val="23"/>
          <w:szCs w:val="23"/>
        </w:rPr>
        <w:t xml:space="preserve">. </w:t>
      </w:r>
    </w:p>
    <w:p w14:paraId="7B330BAA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մշտադիտարկումը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մոնիթորինգ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օգտագործումը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պահպանումը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շրջանառության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իրականացումը</w:t>
      </w:r>
      <w:proofErr w:type="spellEnd"/>
      <w:r>
        <w:rPr>
          <w:sz w:val="23"/>
          <w:szCs w:val="23"/>
        </w:rPr>
        <w:t xml:space="preserve">. </w:t>
      </w:r>
    </w:p>
    <w:p w14:paraId="705365B3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բնագավառում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քաղաքականության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մշակումն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ուղղությունների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սահմանումը</w:t>
      </w:r>
      <w:proofErr w:type="spellEnd"/>
      <w:r>
        <w:rPr>
          <w:sz w:val="23"/>
          <w:szCs w:val="23"/>
        </w:rPr>
        <w:t xml:space="preserve">. </w:t>
      </w:r>
    </w:p>
    <w:p w14:paraId="4A71886D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օտարման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ոլորտում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քաղաքականության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մշակումը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իրականացումը</w:t>
      </w:r>
      <w:proofErr w:type="spellEnd"/>
      <w:r>
        <w:rPr>
          <w:sz w:val="23"/>
          <w:szCs w:val="23"/>
        </w:rPr>
        <w:t xml:space="preserve">. </w:t>
      </w:r>
    </w:p>
    <w:p w14:paraId="008B95F1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գույքային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իրավունքների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ոլորտում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միասնական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քաղաքականության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մշակումը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իրականացումը</w:t>
      </w:r>
      <w:proofErr w:type="spellEnd"/>
      <w:r>
        <w:rPr>
          <w:sz w:val="23"/>
          <w:szCs w:val="23"/>
        </w:rPr>
        <w:t xml:space="preserve">: </w:t>
      </w:r>
    </w:p>
    <w:p w14:paraId="0603F7F3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</w:p>
    <w:p w14:paraId="3690783B" w14:textId="5DEE322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յուրաքանչյուր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ծրագիր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այնպես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ծրագիրն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հիմնադրույթները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ուղենիշները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նույնն</w:t>
      </w:r>
      <w:proofErr w:type="spellEnd"/>
      <w:r>
        <w:rPr>
          <w:sz w:val="23"/>
          <w:szCs w:val="23"/>
        </w:rPr>
        <w:t xml:space="preserve"> է՝ </w:t>
      </w:r>
      <w:proofErr w:type="spellStart"/>
      <w:r>
        <w:rPr>
          <w:sz w:val="23"/>
          <w:szCs w:val="23"/>
        </w:rPr>
        <w:t>սկզբունքները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հստակ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դրված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սկզբունքները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դրանք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. </w:t>
      </w:r>
    </w:p>
    <w:p w14:paraId="5F613BEF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յուրաքանչյուր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հողակտորի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սահմանում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ամրագրում</w:t>
      </w:r>
      <w:proofErr w:type="spellEnd"/>
      <w:r>
        <w:rPr>
          <w:sz w:val="23"/>
          <w:szCs w:val="23"/>
        </w:rPr>
        <w:t xml:space="preserve">. </w:t>
      </w:r>
    </w:p>
    <w:p w14:paraId="30452B1F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արդյունավետ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շարունակական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ապահովում</w:t>
      </w:r>
      <w:proofErr w:type="spellEnd"/>
      <w:r>
        <w:rPr>
          <w:sz w:val="23"/>
          <w:szCs w:val="23"/>
        </w:rPr>
        <w:t xml:space="preserve">. </w:t>
      </w:r>
    </w:p>
    <w:p w14:paraId="6894224B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ոլորտում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մասնակիցների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շահերի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ներդաշնակության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ապահովում</w:t>
      </w:r>
      <w:proofErr w:type="spellEnd"/>
      <w:r>
        <w:rPr>
          <w:sz w:val="23"/>
          <w:szCs w:val="23"/>
        </w:rPr>
        <w:t xml:space="preserve">. </w:t>
      </w:r>
    </w:p>
    <w:p w14:paraId="15F495E1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համայնք-մասնավոր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համագործակցության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պարզեցված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պայմանների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ներդրում</w:t>
      </w:r>
      <w:proofErr w:type="spellEnd"/>
      <w:r>
        <w:rPr>
          <w:sz w:val="23"/>
          <w:szCs w:val="23"/>
        </w:rPr>
        <w:t xml:space="preserve">. </w:t>
      </w:r>
    </w:p>
    <w:p w14:paraId="63268B2A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թափանցիկության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հրապարակայնության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ապահովում</w:t>
      </w:r>
      <w:proofErr w:type="spellEnd"/>
      <w:r>
        <w:rPr>
          <w:sz w:val="23"/>
          <w:szCs w:val="23"/>
        </w:rPr>
        <w:t xml:space="preserve">: </w:t>
      </w:r>
    </w:p>
    <w:p w14:paraId="58B5AD76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</w:p>
    <w:p w14:paraId="4CCC7496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Մեջբերված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սկզբունքները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իրավաիրացնող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իմաստով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ունեն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շատ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մեծ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նշանակություն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քանի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փորձ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արվում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ուղենիշները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սկզբունք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պետք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դրվեն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դրանց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համայնքապետարանի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աշխատակազմի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պաշտոնատար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անձանց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գործողությունների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հիմքում</w:t>
      </w:r>
      <w:proofErr w:type="spellEnd"/>
      <w:r>
        <w:rPr>
          <w:sz w:val="23"/>
          <w:szCs w:val="23"/>
        </w:rPr>
        <w:t xml:space="preserve">: </w:t>
      </w:r>
    </w:p>
    <w:p w14:paraId="5AA18DD6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Որպես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վարքագծի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կանոններ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սկզբունքների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ամրագրումը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ըստ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երաշխավորում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ընթացքում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դրանց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պաշտոնատար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անձանց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գործողությունների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իրավաչափությունը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այնպես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այդ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գործողությունների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արդյունավետության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ցուցիչի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կարևորումն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դիտարկումը</w:t>
      </w:r>
      <w:proofErr w:type="spellEnd"/>
      <w:r>
        <w:rPr>
          <w:sz w:val="23"/>
          <w:szCs w:val="23"/>
        </w:rPr>
        <w:t xml:space="preserve">: </w:t>
      </w:r>
    </w:p>
    <w:p w14:paraId="02CB2170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տնօրինմանը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հանձնված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ընդհանուր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գերակայությունները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դրանք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՝ </w:t>
      </w:r>
    </w:p>
    <w:p w14:paraId="45CE7F3B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արդյունավետության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բարձրացման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ապահովումը</w:t>
      </w:r>
      <w:proofErr w:type="spellEnd"/>
      <w:r>
        <w:rPr>
          <w:sz w:val="23"/>
          <w:szCs w:val="23"/>
        </w:rPr>
        <w:t xml:space="preserve">. </w:t>
      </w:r>
    </w:p>
    <w:p w14:paraId="1DF3E776" w14:textId="1606F4A9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բերրիության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ֆիզիկական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որակական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նորմատիվային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այլ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հատկանիշների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պահպանումը</w:t>
      </w:r>
      <w:proofErr w:type="spellEnd"/>
      <w:r>
        <w:rPr>
          <w:sz w:val="23"/>
          <w:szCs w:val="23"/>
        </w:rPr>
        <w:t>.</w:t>
      </w:r>
    </w:p>
    <w:p w14:paraId="31034900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</w:p>
    <w:p w14:paraId="66144224" w14:textId="77777777" w:rsidR="00E0299B" w:rsidRDefault="00E0299B" w:rsidP="005F169B">
      <w:pPr>
        <w:pStyle w:val="Default"/>
        <w:pageBreakBefore/>
        <w:jc w:val="both"/>
        <w:rPr>
          <w:sz w:val="23"/>
          <w:szCs w:val="23"/>
        </w:rPr>
      </w:pPr>
    </w:p>
    <w:p w14:paraId="323A414F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կարիքների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բավարարման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անհրաժեշտ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գերակայությունը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ընդ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որում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եթե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միևնույն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հողամասը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կարող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ունենալ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շահույթ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ստանալու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հնարավորություն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այնուամենայնիվ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դասվում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կարիքները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բավարարող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հողամասերի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խմբին</w:t>
      </w:r>
      <w:proofErr w:type="spellEnd"/>
      <w:r>
        <w:rPr>
          <w:sz w:val="23"/>
          <w:szCs w:val="23"/>
        </w:rPr>
        <w:t xml:space="preserve">. </w:t>
      </w:r>
    </w:p>
    <w:p w14:paraId="7FE8528E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կարիքները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բավարարող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հողամասերը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հիմնականում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ենթակա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չեն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օտարման</w:t>
      </w:r>
      <w:proofErr w:type="spellEnd"/>
      <w:r>
        <w:rPr>
          <w:sz w:val="23"/>
          <w:szCs w:val="23"/>
        </w:rPr>
        <w:t xml:space="preserve">. </w:t>
      </w:r>
    </w:p>
    <w:p w14:paraId="0EB41025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շահույթ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ստանալու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հետապնդող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հողամասերի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այլընտրանքային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տարբերակներից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նախապատվությունը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տրվում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այն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տարբերակներին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առավել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նպաստում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տնտեսական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աճի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ապահովմանը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մասնավոր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հատվածում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օտարերկրյա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ներքին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ներդրումների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ներգրավմանը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շուկայական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մրցակցության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խթանմանը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արտահանման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խթանմանը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աշխատատեղերի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ստեղծմանը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աղքատության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հաղթահարմանը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բյուջեի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եկամուտների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ավելացման</w:t>
      </w:r>
      <w:proofErr w:type="spellEnd"/>
      <w:r>
        <w:rPr>
          <w:sz w:val="23"/>
          <w:szCs w:val="23"/>
        </w:rPr>
        <w:t xml:space="preserve">. </w:t>
      </w:r>
    </w:p>
    <w:p w14:paraId="2CDC06FA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proofErr w:type="spellStart"/>
      <w:r>
        <w:rPr>
          <w:sz w:val="23"/>
          <w:szCs w:val="23"/>
        </w:rPr>
        <w:t>գյուղատնտեսական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բերրիության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բարձրացումը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էկոլոգիական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վիճակի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բարելավումը</w:t>
      </w:r>
      <w:proofErr w:type="spellEnd"/>
      <w:r>
        <w:rPr>
          <w:sz w:val="23"/>
          <w:szCs w:val="23"/>
        </w:rPr>
        <w:t xml:space="preserve">։ </w:t>
      </w:r>
    </w:p>
    <w:p w14:paraId="10046CC1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</w:p>
    <w:p w14:paraId="14CCE9FA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Հատկանշական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որոնք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ուղենիշներ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դրված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փաստաթղթի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հիմքում</w:t>
      </w:r>
      <w:proofErr w:type="spellEnd"/>
      <w:r>
        <w:rPr>
          <w:sz w:val="23"/>
          <w:szCs w:val="23"/>
        </w:rPr>
        <w:t xml:space="preserve">, և </w:t>
      </w:r>
      <w:proofErr w:type="spellStart"/>
      <w:r>
        <w:rPr>
          <w:sz w:val="23"/>
          <w:szCs w:val="23"/>
        </w:rPr>
        <w:t>որոնց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հասնելուն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միտված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համայնքապետարանի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աշխատակազմի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պաշտոնատար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անձանց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գործողությունները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ամրագրված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Նախագծում</w:t>
      </w:r>
      <w:proofErr w:type="spellEnd"/>
      <w:r>
        <w:rPr>
          <w:sz w:val="23"/>
          <w:szCs w:val="23"/>
        </w:rPr>
        <w:t xml:space="preserve">: </w:t>
      </w:r>
    </w:p>
    <w:p w14:paraId="6643DC70" w14:textId="23E4BFDA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նպատակներ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արդյունավետության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շարունակական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բարձրացումը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միասնական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համակարգի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ձևավորումը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հանրային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օգտակարության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բարձրացումը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օտարումից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վարձակալության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կառուցապատման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սահմանափակ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սերվիտուտ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իրավունքով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տրամադրելուց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ստացված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միջոցների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բյուջեում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եկամուտների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ապահովումն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ավելացումը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գույքային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շրջանառության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բնագավառում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միասնական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քաղաքականության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ամբողջական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հաշվառումը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հաշվառման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տվյալների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թափանցիկության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հրապարակայնության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հարաբերությունների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կարգավորումը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շարունակական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բարեփոխումը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բնակչությանը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գործընթացին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մասնակից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դարձնելը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արդյունավետ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ճանապարհով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տնտեսությունում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ներդրումների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ներգրավման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բարենպաստ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պայմանների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ապահովումը</w:t>
      </w:r>
      <w:proofErr w:type="spellEnd"/>
      <w:r>
        <w:rPr>
          <w:sz w:val="23"/>
          <w:szCs w:val="23"/>
        </w:rPr>
        <w:t xml:space="preserve">։ </w:t>
      </w:r>
    </w:p>
    <w:p w14:paraId="546CA47B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ներկայացվում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. </w:t>
      </w:r>
    </w:p>
    <w:p w14:paraId="62EA5096" w14:textId="77777777" w:rsidR="00E0299B" w:rsidRDefault="00E0299B" w:rsidP="005F169B">
      <w:pPr>
        <w:pStyle w:val="Default"/>
        <w:spacing w:after="12063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Ընդհանուր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դրույթները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հաշվեկշռի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կառուցվածքի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նկարագրությունը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դասակարգումը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ըստ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հողատեսքերի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ըստ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նպատակային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գործառնական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նշանակության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գործողության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շրջանակները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խնդիրները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նպատակները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Հողամասի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օտարման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օրենսդրական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կառուցակարգերը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Հողամասը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տրամադրելու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օրենսդրական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կարգավորումները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ընթացակարգերը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</w:p>
    <w:p w14:paraId="7DAA7314" w14:textId="1B48D2E3" w:rsidR="00E0299B" w:rsidRDefault="00E0299B" w:rsidP="005F169B">
      <w:pPr>
        <w:pStyle w:val="Default"/>
        <w:spacing w:after="12063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վարչական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գտնվող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արոտավայրերի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խոտհարքների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առանձնահատկությունները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պարտադիր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գույքագրում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իրականացնելու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ընթացակարգերը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ուղղությունները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միջոցառումները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Ծրագրով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նախատեսված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միջոցառումների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կատարման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կատարման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տարեկան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հաշվետվության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ներկայացման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ընթացակարգերը</w:t>
      </w:r>
      <w:proofErr w:type="spellEnd"/>
      <w:r>
        <w:rPr>
          <w:sz w:val="23"/>
          <w:szCs w:val="23"/>
        </w:rPr>
        <w:t xml:space="preserve">. </w:t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Ծրագրում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փոփոխություններ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լրացումներ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կատարելու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ֆինանսավորման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հնարավոր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կանխատեսվող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եկամուտների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կարգավորումները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գործընթացներում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թափանցիկությունն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գործիքակազմերը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rFonts w:ascii="Wingdings" w:hAnsi="Wingdings" w:cs="Wingdings"/>
          <w:sz w:val="23"/>
          <w:szCs w:val="23"/>
        </w:rPr>
        <w:t xml:space="preserve">✓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գործընթացներից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բխող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բոլոր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փաստաթղթերի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օրինակելի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ձևերը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այլն</w:t>
      </w:r>
      <w:proofErr w:type="spell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br/>
      </w:r>
      <w:proofErr w:type="spellStart"/>
      <w:r>
        <w:rPr>
          <w:sz w:val="23"/>
          <w:szCs w:val="23"/>
        </w:rPr>
        <w:t>Նախագծում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առանձակի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կարևորվել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վարչական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գտնվող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արոտավայրերի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խոտհարքների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առանձնահատկությունների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ըստ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որի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Հայաստանի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Հանրապետության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օրենսդրության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կարգավորումների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շրջանակներում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ներկայացվել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արոտավայրերի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խոտհարքների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տնօրինման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օրենսդրական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սահմանափակումները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տրամադրելու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ընթացակարգերը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վարձակալության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պայմանագրերի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օրինակելի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ձևերը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այլն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անդրադարձ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կատարվել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վարչական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գտնվող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արոտավայրերի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խոտհարքների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պլանը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ընթացակարգերին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ժամկետներին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դրանում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նկարագրվող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բովանդակությանը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ներկայացվել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վարչական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գտնվող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արոտավայրերի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խոտհարքների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պլանի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կառուցվածքը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շրջանակներում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նախատեսվում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ներառել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հետևյալ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բաղադրիչները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արոտավայրերի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ընդհանուր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մակերեսը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սեփականության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ձևերը</w:t>
      </w:r>
      <w:proofErr w:type="spellEnd"/>
      <w:r>
        <w:rPr>
          <w:rFonts w:ascii="Cambria Math" w:hAnsi="Cambria Math" w:cs="Cambria Math"/>
          <w:sz w:val="23"/>
          <w:szCs w:val="23"/>
        </w:rPr>
        <w:t>․</w:t>
      </w:r>
      <w:r>
        <w:rPr>
          <w:rFonts w:ascii="Cambria Math" w:hAnsi="Cambria Math" w:cs="Cambria Math"/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դրանում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ընդգրկված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բնակավայրերի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անասնագլխաքանակն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ըստ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տնտեսությունների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անասնակերի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պահանջը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անասնակերի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պահանջի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հաշվարկը</w:t>
      </w:r>
      <w:proofErr w:type="spellEnd"/>
      <w:r>
        <w:rPr>
          <w:rFonts w:ascii="Cambria Math" w:hAnsi="Cambria Math" w:cs="Cambria Math"/>
          <w:sz w:val="23"/>
          <w:szCs w:val="23"/>
        </w:rPr>
        <w:t xml:space="preserve">․ </w:t>
      </w:r>
      <w:r>
        <w:rPr>
          <w:rFonts w:ascii="Cambria Math" w:hAnsi="Cambria Math" w:cs="Cambria Math"/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ֆիզիկաաշխարհագրական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առանձնահատկությունները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ըստ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գոտիների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արոտատեղամասերի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ընթացիկ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կառավարումը</w:t>
      </w:r>
      <w:proofErr w:type="spellEnd"/>
      <w:r>
        <w:rPr>
          <w:rFonts w:ascii="Cambria Math" w:hAnsi="Cambria Math" w:cs="Cambria Math"/>
          <w:sz w:val="23"/>
          <w:szCs w:val="23"/>
        </w:rPr>
        <w:t>․</w:t>
      </w:r>
      <w:r>
        <w:rPr>
          <w:rFonts w:ascii="Cambria Math" w:hAnsi="Cambria Math" w:cs="Cambria Math"/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արոտատեղամասերի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էկոլոգիական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գնահատումը</w:t>
      </w:r>
      <w:proofErr w:type="spellEnd"/>
      <w:r>
        <w:rPr>
          <w:rFonts w:ascii="Cambria Math" w:hAnsi="Cambria Math" w:cs="Cambria Math"/>
          <w:sz w:val="23"/>
          <w:szCs w:val="23"/>
        </w:rPr>
        <w:t xml:space="preserve">․ </w:t>
      </w:r>
      <w:r>
        <w:rPr>
          <w:rFonts w:ascii="Cambria Math" w:hAnsi="Cambria Math" w:cs="Cambria Math"/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արոտների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խոտհարքների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բուսածածկն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բերքատվության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ցուցանիշները</w:t>
      </w:r>
      <w:proofErr w:type="spellEnd"/>
      <w:r>
        <w:rPr>
          <w:rFonts w:ascii="Cambria Math" w:hAnsi="Cambria Math" w:cs="Cambria Math"/>
          <w:sz w:val="23"/>
          <w:szCs w:val="23"/>
        </w:rPr>
        <w:t>․</w:t>
      </w:r>
      <w:r>
        <w:rPr>
          <w:rFonts w:ascii="Cambria Math" w:hAnsi="Cambria Math" w:cs="Cambria Math"/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կերահանդակներից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այլընտրանքային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կերապահովման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տարածքներից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ստացվող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չոր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զանգվածի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արածեցման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քանակը</w:t>
      </w:r>
      <w:proofErr w:type="spellEnd"/>
      <w:r>
        <w:rPr>
          <w:rFonts w:ascii="Cambria Math" w:hAnsi="Cambria Math" w:cs="Cambria Math"/>
          <w:sz w:val="23"/>
          <w:szCs w:val="23"/>
        </w:rPr>
        <w:t>․</w:t>
      </w:r>
      <w:r>
        <w:rPr>
          <w:rFonts w:ascii="Cambria Math" w:hAnsi="Cambria Math" w:cs="Cambria Math"/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արոտատեղամասերի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բաշխվածության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գոտիականության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քարտեզը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արոտատեղամասերի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բաշխվածության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քարտեզը</w:t>
      </w:r>
      <w:proofErr w:type="spellEnd"/>
      <w:r>
        <w:rPr>
          <w:rFonts w:ascii="Cambria Math" w:hAnsi="Cambria Math" w:cs="Cambria Math"/>
          <w:sz w:val="23"/>
          <w:szCs w:val="23"/>
        </w:rPr>
        <w:t xml:space="preserve">․ </w:t>
      </w:r>
      <w:r>
        <w:rPr>
          <w:rFonts w:ascii="Cambria Math" w:hAnsi="Cambria Math" w:cs="Cambria Math"/>
          <w:sz w:val="23"/>
          <w:szCs w:val="23"/>
        </w:rPr>
        <w:br/>
      </w:r>
      <w:r>
        <w:rPr>
          <w:sz w:val="23"/>
          <w:szCs w:val="23"/>
        </w:rPr>
        <w:t xml:space="preserve"> </w:t>
      </w:r>
      <w:proofErr w:type="spellStart"/>
      <w:r>
        <w:rPr>
          <w:sz w:val="23"/>
          <w:szCs w:val="23"/>
        </w:rPr>
        <w:t>արոտատեղամասերի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արածեցման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գրաֆիկը</w:t>
      </w:r>
      <w:proofErr w:type="spellEnd"/>
      <w:r>
        <w:rPr>
          <w:sz w:val="23"/>
          <w:szCs w:val="23"/>
        </w:rPr>
        <w:t xml:space="preserve">։ </w:t>
      </w:r>
    </w:p>
    <w:p w14:paraId="0F0DC665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</w:p>
    <w:p w14:paraId="1E80DB8C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Միաժամանակ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նախատեսված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կարգավորումներ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որոնք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վերաբերելի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վարչական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անասուների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արածեցման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կարգին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պետական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արոտավայրերի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խոտհարքների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նպատակային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դրանից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բխող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վերահսկողական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բնույթի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գործիքակազմերի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կիրառությանը</w:t>
      </w:r>
      <w:proofErr w:type="spellEnd"/>
      <w:r>
        <w:rPr>
          <w:sz w:val="23"/>
          <w:szCs w:val="23"/>
        </w:rPr>
        <w:t xml:space="preserve">: </w:t>
      </w:r>
    </w:p>
    <w:p w14:paraId="50734EF1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արդյունքում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մակարդակում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կիրացվի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օրենսդրական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պահանջները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պետք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մշակեն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հաստատեն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ծրագիրը</w:t>
      </w:r>
      <w:proofErr w:type="spellEnd"/>
      <w:r>
        <w:rPr>
          <w:sz w:val="23"/>
          <w:szCs w:val="23"/>
        </w:rPr>
        <w:t xml:space="preserve">: </w:t>
      </w:r>
    </w:p>
    <w:p w14:paraId="72A85F85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ընդունմամբ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պայմանավորված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կսահմանվեն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փոխանցված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պլանավորման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իրավահարաբերությունները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համայնքային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մակարդակում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կսահմանվեն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օգտագործման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տիրապետման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տնօրինման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ընթացակարգերը</w:t>
      </w:r>
      <w:proofErr w:type="spellEnd"/>
      <w:r>
        <w:rPr>
          <w:sz w:val="23"/>
          <w:szCs w:val="23"/>
        </w:rPr>
        <w:t xml:space="preserve">: </w:t>
      </w:r>
    </w:p>
    <w:p w14:paraId="406567B4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Կհստակեցվեն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դրանց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պաշտոնատար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անձանց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գործողությունները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մասնավորապես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լիազորություններից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բխող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գործառույթների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սահմանմամբ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հերթին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առավելապես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հստակեցնելու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գործընթացների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դերակատարների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իրավունքների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պարտականությունների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շրջանակը</w:t>
      </w:r>
      <w:proofErr w:type="spellEnd"/>
      <w:r>
        <w:rPr>
          <w:sz w:val="23"/>
          <w:szCs w:val="23"/>
        </w:rPr>
        <w:t xml:space="preserve">: </w:t>
      </w:r>
    </w:p>
    <w:p w14:paraId="277CAFA0" w14:textId="53CF0DDA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հնարավորություն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կընձեռի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բացառել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գոնե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էականորեն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նվազեցնել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գործընթացներում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սուբյեկտիվ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հնարավոր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ազդեցությունն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դրանով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պայմանավորված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կիրառությունը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լիազորությունների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տեսանկյունից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սույն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հիմնավորման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հիմքում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ընկած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ընդունմամբ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առավել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քան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կկանոնակարգվեն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դրա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կողմից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իրականացվող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հողային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իրավահարաբերությունները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թույլ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կտա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արձանագրելու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մարմինների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գործունեության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օրինականության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մակարդակի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բարձրացում</w:t>
      </w:r>
      <w:proofErr w:type="spellEnd"/>
      <w:r>
        <w:rPr>
          <w:sz w:val="23"/>
          <w:szCs w:val="23"/>
        </w:rPr>
        <w:t xml:space="preserve">: </w:t>
      </w:r>
    </w:p>
    <w:p w14:paraId="756A50A2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էականորեն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կբարձրացնի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տնտեսական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ակտիվության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ցուցիչը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լրացուցիչ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ակտիվների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ներգրավման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համատեքստում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հերթին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կարող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էականորեն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ավելացնել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եկամուտների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տեսակարար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կշիռը</w:t>
      </w:r>
      <w:proofErr w:type="spellEnd"/>
      <w:r>
        <w:rPr>
          <w:sz w:val="23"/>
          <w:szCs w:val="23"/>
        </w:rPr>
        <w:t xml:space="preserve">: </w:t>
      </w:r>
    </w:p>
    <w:p w14:paraId="0AA449F2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Բացի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այն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հանգամանքից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որ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Նախագծով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ինստիտուցիոնալացվելու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վարչական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սահմաններում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գտնվող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գործընթացները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այլև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հնարավորություն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ստեղծվելու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գնահատելու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կատարողականը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Մասնավորապես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լինելով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հնգամյա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զարգացման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բաղկացուցիչ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մշակումը</w:t>
      </w:r>
      <w:proofErr w:type="spellEnd"/>
      <w:r>
        <w:rPr>
          <w:sz w:val="23"/>
          <w:szCs w:val="23"/>
        </w:rPr>
        <w:t xml:space="preserve"> և </w:t>
      </w:r>
      <w:proofErr w:type="spellStart"/>
      <w:r>
        <w:rPr>
          <w:sz w:val="23"/>
          <w:szCs w:val="23"/>
        </w:rPr>
        <w:t>հաստատումը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կարող</w:t>
      </w:r>
      <w:proofErr w:type="spellEnd"/>
      <w:r>
        <w:rPr>
          <w:sz w:val="23"/>
          <w:szCs w:val="23"/>
        </w:rPr>
        <w:t xml:space="preserve"> է </w:t>
      </w:r>
      <w:proofErr w:type="spellStart"/>
      <w:r>
        <w:rPr>
          <w:sz w:val="23"/>
          <w:szCs w:val="23"/>
        </w:rPr>
        <w:t>լրացուցիչ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գործոն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հանդիսանալ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հնգամյա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զարգացման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ծրագրի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կարևորության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փաստման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այնպես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էլ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դրա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հաշվետվողականության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ապահովման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համար</w:t>
      </w:r>
      <w:proofErr w:type="spellEnd"/>
      <w:r>
        <w:rPr>
          <w:sz w:val="23"/>
          <w:szCs w:val="23"/>
        </w:rPr>
        <w:t xml:space="preserve">: </w:t>
      </w:r>
    </w:p>
    <w:p w14:paraId="5BB57C63" w14:textId="77777777" w:rsidR="00E0299B" w:rsidRDefault="00E0299B" w:rsidP="005F169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Նախագծի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արդյունքում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կապահովվի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Տեղական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ինքնակառավարման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օրենքի</w:t>
      </w:r>
      <w:proofErr w:type="spellEnd"/>
      <w:r>
        <w:rPr>
          <w:sz w:val="23"/>
          <w:szCs w:val="23"/>
        </w:rPr>
        <w:t xml:space="preserve"> 43-րդ </w:t>
      </w:r>
      <w:proofErr w:type="spellStart"/>
      <w:r>
        <w:rPr>
          <w:sz w:val="23"/>
          <w:szCs w:val="23"/>
        </w:rPr>
        <w:t>հոդվածի</w:t>
      </w:r>
      <w:proofErr w:type="spellEnd"/>
      <w:r>
        <w:rPr>
          <w:sz w:val="23"/>
          <w:szCs w:val="23"/>
        </w:rPr>
        <w:t xml:space="preserve"> 1-ին </w:t>
      </w:r>
      <w:proofErr w:type="spellStart"/>
      <w:r>
        <w:rPr>
          <w:sz w:val="23"/>
          <w:szCs w:val="23"/>
        </w:rPr>
        <w:t>մասի</w:t>
      </w:r>
      <w:proofErr w:type="spellEnd"/>
      <w:r>
        <w:rPr>
          <w:sz w:val="23"/>
          <w:szCs w:val="23"/>
        </w:rPr>
        <w:t xml:space="preserve"> 2-րդ </w:t>
      </w:r>
      <w:proofErr w:type="spellStart"/>
      <w:r>
        <w:rPr>
          <w:sz w:val="23"/>
          <w:szCs w:val="23"/>
        </w:rPr>
        <w:t>կետով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սահմանված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պահանջների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իրագործումը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մասնավորապես</w:t>
      </w:r>
      <w:proofErr w:type="spellEnd"/>
      <w:r>
        <w:rPr>
          <w:sz w:val="23"/>
          <w:szCs w:val="23"/>
        </w:rPr>
        <w:t xml:space="preserve">՝ </w:t>
      </w:r>
      <w:proofErr w:type="spellStart"/>
      <w:r>
        <w:rPr>
          <w:sz w:val="23"/>
          <w:szCs w:val="23"/>
        </w:rPr>
        <w:t>այդ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իրավանորմից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բխող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պարտավորությունների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իրացումը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ղեկավարի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ինչպես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ավագանու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կողմից</w:t>
      </w:r>
      <w:proofErr w:type="spellEnd"/>
      <w:r>
        <w:rPr>
          <w:sz w:val="23"/>
          <w:szCs w:val="23"/>
        </w:rPr>
        <w:t xml:space="preserve">: </w:t>
      </w:r>
    </w:p>
    <w:p w14:paraId="1D56C4B7" w14:textId="77777777" w:rsidR="00E0299B" w:rsidRDefault="00E0299B" w:rsidP="005F169B">
      <w:pPr>
        <w:pStyle w:val="Default"/>
        <w:jc w:val="both"/>
        <w:rPr>
          <w:sz w:val="28"/>
          <w:szCs w:val="28"/>
        </w:rPr>
      </w:pPr>
    </w:p>
    <w:p w14:paraId="42A29F1F" w14:textId="77777777" w:rsidR="00E0299B" w:rsidRDefault="00E0299B" w:rsidP="00E0299B">
      <w:pPr>
        <w:pStyle w:val="Default"/>
        <w:rPr>
          <w:sz w:val="28"/>
          <w:szCs w:val="28"/>
        </w:rPr>
      </w:pPr>
    </w:p>
    <w:p w14:paraId="0CB66158" w14:textId="77777777" w:rsidR="00E0299B" w:rsidRDefault="00E0299B" w:rsidP="00E0299B">
      <w:pPr>
        <w:pStyle w:val="Default"/>
        <w:rPr>
          <w:sz w:val="28"/>
          <w:szCs w:val="28"/>
        </w:rPr>
      </w:pPr>
    </w:p>
    <w:p w14:paraId="5C71DA00" w14:textId="4BC11BF3" w:rsidR="00E0299B" w:rsidRDefault="00E0299B" w:rsidP="00E0299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ՏԵՂԵԿԱՆՔ</w:t>
      </w:r>
    </w:p>
    <w:p w14:paraId="2052C98E" w14:textId="0B78F927" w:rsidR="00E0299B" w:rsidRDefault="00DD0464" w:rsidP="005F169B">
      <w:pPr>
        <w:pStyle w:val="Default"/>
        <w:rPr>
          <w:sz w:val="23"/>
          <w:szCs w:val="23"/>
        </w:rPr>
      </w:pPr>
      <w:r>
        <w:rPr>
          <w:sz w:val="23"/>
          <w:szCs w:val="23"/>
          <w:lang w:val="hy-AM"/>
        </w:rPr>
        <w:t xml:space="preserve">ՎԱՐԴԵՆԻՍ </w:t>
      </w:r>
      <w:r w:rsidR="00E0299B">
        <w:rPr>
          <w:sz w:val="23"/>
          <w:szCs w:val="23"/>
        </w:rPr>
        <w:t>ՀԱՄԱՅՆՔԻ ՍԵՓԱԿԱՆՈՒԹՅՈՒՆ ՀԱՆԴԻՍԱՑՈՂ ՀՈՂԵՐԻ ԿԱՌԱՎԱՐՄԱՆ 20—ԹՎԱԿԱՆԻ (ԱՄԵՆԱՄՅԱ) ԾՐԱԳԻՐԸ ՀԱՍՏԱՏԵԼՈՒ ՄԱՍԻՆ»</w:t>
      </w:r>
      <w:r w:rsidR="005F169B">
        <w:rPr>
          <w:sz w:val="23"/>
          <w:szCs w:val="23"/>
          <w:lang w:val="hy-AM"/>
        </w:rPr>
        <w:t xml:space="preserve"> </w:t>
      </w:r>
      <w:r w:rsidR="00F71AF6">
        <w:rPr>
          <w:sz w:val="23"/>
          <w:szCs w:val="23"/>
          <w:lang w:val="hy-AM"/>
        </w:rPr>
        <w:t>ՎԱՐԴԵՆԻՍ</w:t>
      </w:r>
      <w:r w:rsidR="00E0299B">
        <w:rPr>
          <w:sz w:val="23"/>
          <w:szCs w:val="23"/>
        </w:rPr>
        <w:t xml:space="preserve"> ՀԱՄԱՅՆՔԻ ԱՎԱԳԱՆՈՒ ՈՐՈՇՄԱՆ ՆԱԽԱԳԾԻ ԸՆԴՈՒՆՄԱՆ ԱՌՆՉՈՒԹՅԱՄԲ ԱՅԼ ԻՐԱՎԱԿԱՆ ԱԿՏԵՐԻ ԸՆԴՈՒՆՄԱՆ ԱՆՀՐԱԺԵՇՏՈՒԹՅԱՆ ՄԱՍԻՆ </w:t>
      </w:r>
    </w:p>
    <w:p w14:paraId="230B1857" w14:textId="3F073CB6" w:rsidR="00E0299B" w:rsidRDefault="00E0299B" w:rsidP="00E02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</w:t>
      </w:r>
      <w:proofErr w:type="gramStart"/>
      <w:r w:rsidR="00F71AF6">
        <w:rPr>
          <w:sz w:val="23"/>
          <w:szCs w:val="23"/>
          <w:lang w:val="hy-AM"/>
        </w:rPr>
        <w:t xml:space="preserve">Վարդենիս </w:t>
      </w:r>
      <w:r w:rsidR="005F169B">
        <w:rPr>
          <w:sz w:val="23"/>
          <w:szCs w:val="23"/>
          <w:lang w:val="hy-AM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սեփականություն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հանդիսացող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հողերի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կառավարման</w:t>
      </w:r>
      <w:proofErr w:type="spellEnd"/>
      <w:r>
        <w:rPr>
          <w:sz w:val="23"/>
          <w:szCs w:val="23"/>
        </w:rPr>
        <w:t xml:space="preserve"> 20</w:t>
      </w:r>
      <w:r w:rsidR="005F169B">
        <w:rPr>
          <w:sz w:val="23"/>
          <w:szCs w:val="23"/>
          <w:lang w:val="hy-AM"/>
        </w:rPr>
        <w:t>23</w:t>
      </w:r>
      <w:proofErr w:type="spellStart"/>
      <w:r>
        <w:rPr>
          <w:sz w:val="23"/>
          <w:szCs w:val="23"/>
        </w:rPr>
        <w:t>թվականի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ամենամյա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ծրագիրը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հաստատելու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մասին</w:t>
      </w:r>
      <w:proofErr w:type="spellEnd"/>
      <w:r>
        <w:rPr>
          <w:sz w:val="23"/>
          <w:szCs w:val="23"/>
        </w:rPr>
        <w:t xml:space="preserve">» </w:t>
      </w:r>
      <w:r w:rsidR="00F71AF6">
        <w:rPr>
          <w:sz w:val="23"/>
          <w:szCs w:val="23"/>
          <w:lang w:val="hy-AM"/>
        </w:rPr>
        <w:t>Վարդենիս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համայնքի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ավագանու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որոշման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նախագծի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առնչությամբ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այլ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իրավական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ակտերի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ընդունման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անհրաժեշտություն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չի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առաջանում</w:t>
      </w:r>
      <w:proofErr w:type="spellEnd"/>
      <w:r>
        <w:rPr>
          <w:sz w:val="23"/>
          <w:szCs w:val="23"/>
        </w:rPr>
        <w:t xml:space="preserve">: </w:t>
      </w:r>
    </w:p>
    <w:p w14:paraId="4D3B99CF" w14:textId="77777777" w:rsidR="005F169B" w:rsidRDefault="005F169B" w:rsidP="005F169B">
      <w:pPr>
        <w:pStyle w:val="Default"/>
        <w:jc w:val="center"/>
        <w:rPr>
          <w:sz w:val="28"/>
          <w:szCs w:val="28"/>
        </w:rPr>
      </w:pPr>
    </w:p>
    <w:p w14:paraId="716B2B67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</w:t>
      </w:r>
    </w:p>
    <w:p w14:paraId="6C7DCB06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02488E6B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065F9096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305549DE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32249B9F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70AB1023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53588AD4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6100836A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02CC29C3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363D5E7B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1E5BB808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540508D3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3C8AC115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46B00ADB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2D5EEE5E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3B60E4D3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54DDADB5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461CDA9D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5DE5258B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7AC045BB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608A9707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47B9F136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753736FE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22975A49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01EC81AF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1A4C9D8C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53EBB9DB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353CF50A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250A1684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3CBF1B51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189CC864" w14:textId="77777777" w:rsidR="00B954E0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7BB18D94" w14:textId="51C073AD" w:rsidR="00E0299B" w:rsidRPr="00F71AF6" w:rsidRDefault="00E0299B" w:rsidP="005F169B">
      <w:pPr>
        <w:pStyle w:val="Default"/>
        <w:jc w:val="center"/>
        <w:rPr>
          <w:sz w:val="28"/>
          <w:szCs w:val="28"/>
          <w:lang w:val="hy-AM"/>
        </w:rPr>
      </w:pPr>
      <w:r w:rsidRPr="00F71AF6">
        <w:rPr>
          <w:sz w:val="28"/>
          <w:szCs w:val="28"/>
          <w:lang w:val="hy-AM"/>
        </w:rPr>
        <w:t>ՏԵՂԵԿԱՆՔ</w:t>
      </w:r>
    </w:p>
    <w:p w14:paraId="5F229B66" w14:textId="4DB072F1" w:rsidR="00B954E0" w:rsidRPr="00F71AF6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05366E0E" w14:textId="77777777" w:rsidR="00B954E0" w:rsidRPr="00F71AF6" w:rsidRDefault="00B954E0" w:rsidP="005F169B">
      <w:pPr>
        <w:pStyle w:val="Default"/>
        <w:jc w:val="center"/>
        <w:rPr>
          <w:sz w:val="28"/>
          <w:szCs w:val="28"/>
          <w:lang w:val="hy-AM"/>
        </w:rPr>
      </w:pPr>
    </w:p>
    <w:p w14:paraId="65916E02" w14:textId="364347D7" w:rsidR="00E0299B" w:rsidRPr="00F71AF6" w:rsidRDefault="00E0299B" w:rsidP="00E0299B">
      <w:pPr>
        <w:pStyle w:val="Default"/>
        <w:rPr>
          <w:sz w:val="23"/>
          <w:szCs w:val="23"/>
          <w:lang w:val="hy-AM"/>
        </w:rPr>
      </w:pPr>
      <w:r w:rsidRPr="00F71AF6">
        <w:rPr>
          <w:sz w:val="23"/>
          <w:szCs w:val="23"/>
          <w:lang w:val="hy-AM"/>
        </w:rPr>
        <w:t>«</w:t>
      </w:r>
      <w:r w:rsidR="00F71AF6">
        <w:rPr>
          <w:sz w:val="23"/>
          <w:szCs w:val="23"/>
          <w:lang w:val="hy-AM"/>
        </w:rPr>
        <w:t xml:space="preserve">ՎԱՐԴԵՆԻՍ </w:t>
      </w:r>
      <w:r w:rsidRPr="00F71AF6">
        <w:rPr>
          <w:sz w:val="23"/>
          <w:szCs w:val="23"/>
          <w:lang w:val="hy-AM"/>
        </w:rPr>
        <w:t>ՀԱՄԱՅՆՔԻ ՍԵՓԱԿԱՆՈՒԹՅՈՒՆ ՀԱՆԴԻՍԱՑՈՂ ՀՈՂԵՐԻ ԿԱՌԱՎԱՐՄԱՆ 20</w:t>
      </w:r>
      <w:r w:rsidR="00B954E0">
        <w:rPr>
          <w:sz w:val="23"/>
          <w:szCs w:val="23"/>
          <w:lang w:val="hy-AM"/>
        </w:rPr>
        <w:t xml:space="preserve">23 </w:t>
      </w:r>
      <w:r w:rsidRPr="00F71AF6">
        <w:rPr>
          <w:sz w:val="23"/>
          <w:szCs w:val="23"/>
          <w:lang w:val="hy-AM"/>
        </w:rPr>
        <w:t xml:space="preserve">ԹՎԱԿԱՆԻ (ԱՄԵՆԱՄՅԱ) ԾՐԱԳԻՐԸ ՀԱՍՏԱՏԵԼՈՒ ՄԱՍԻՆ» </w:t>
      </w:r>
      <w:r w:rsidR="00F71AF6">
        <w:rPr>
          <w:sz w:val="23"/>
          <w:szCs w:val="23"/>
          <w:lang w:val="hy-AM"/>
        </w:rPr>
        <w:t>ՎԱՐԴԵՆԻՍ</w:t>
      </w:r>
      <w:r w:rsidRPr="00F71AF6">
        <w:rPr>
          <w:sz w:val="23"/>
          <w:szCs w:val="23"/>
          <w:lang w:val="hy-AM"/>
        </w:rPr>
        <w:t xml:space="preserve"> ՀԱՄԱՅՆՔԻ ԱՎԱԳԱՆՈՒ ՈՐՈՇՄԱՆ ՆԱԽԱԳԾԻ ԸՆԴՈՒՆՄԱՆ ԿԱՊԱԿՑՈՒԹՅԱՄԲ </w:t>
      </w:r>
      <w:r w:rsidR="00F71AF6">
        <w:rPr>
          <w:sz w:val="23"/>
          <w:szCs w:val="23"/>
          <w:lang w:val="hy-AM"/>
        </w:rPr>
        <w:t xml:space="preserve">ՎԱՐԴԵՆԻՍ </w:t>
      </w:r>
      <w:r w:rsidRPr="00F71AF6">
        <w:rPr>
          <w:sz w:val="23"/>
          <w:szCs w:val="23"/>
          <w:lang w:val="hy-AM"/>
        </w:rPr>
        <w:t xml:space="preserve">ՀԱՄԱՅՆՔԻ ԲՅՈՒՋԵՈՒՄ ԵԿԱՄՈՒՏՆԵՐԻ ԵՎ ԾԱԽՍԵՐԻ ԱՎԵԼԱՑՄԱՆ ԿԱՄ ՆՎԱԶԵՑՄԱՆ ՄԱՍԻՆ </w:t>
      </w:r>
    </w:p>
    <w:p w14:paraId="17363DB0" w14:textId="77E74F59" w:rsidR="00E0299B" w:rsidRPr="00B954E0" w:rsidRDefault="00E0299B" w:rsidP="00E0299B">
      <w:pPr>
        <w:pStyle w:val="Default"/>
        <w:rPr>
          <w:sz w:val="23"/>
          <w:szCs w:val="23"/>
          <w:lang w:val="hy-AM"/>
        </w:rPr>
      </w:pPr>
      <w:r w:rsidRPr="00F71AF6">
        <w:rPr>
          <w:sz w:val="23"/>
          <w:szCs w:val="23"/>
          <w:lang w:val="hy-AM"/>
        </w:rPr>
        <w:t>«</w:t>
      </w:r>
      <w:r w:rsidR="00F71AF6">
        <w:rPr>
          <w:sz w:val="23"/>
          <w:szCs w:val="23"/>
          <w:lang w:val="hy-AM"/>
        </w:rPr>
        <w:t>Վարդենիս</w:t>
      </w:r>
      <w:r w:rsidR="00B954E0">
        <w:rPr>
          <w:sz w:val="23"/>
          <w:szCs w:val="23"/>
          <w:lang w:val="hy-AM"/>
        </w:rPr>
        <w:t xml:space="preserve"> </w:t>
      </w:r>
      <w:r w:rsidRPr="00F71AF6">
        <w:rPr>
          <w:sz w:val="23"/>
          <w:szCs w:val="23"/>
          <w:lang w:val="hy-AM"/>
        </w:rPr>
        <w:t>համայնքի սեփականություն հանդիսացող հողերի կառավարման 20</w:t>
      </w:r>
      <w:r w:rsidR="00B954E0">
        <w:rPr>
          <w:sz w:val="23"/>
          <w:szCs w:val="23"/>
          <w:lang w:val="hy-AM"/>
        </w:rPr>
        <w:t xml:space="preserve">23 </w:t>
      </w:r>
      <w:r w:rsidRPr="00F71AF6">
        <w:rPr>
          <w:sz w:val="23"/>
          <w:szCs w:val="23"/>
          <w:lang w:val="hy-AM"/>
        </w:rPr>
        <w:t xml:space="preserve">թվականի (ամենամյա) ծրագիրը հաստատելու մասին» </w:t>
      </w:r>
      <w:r w:rsidR="00CC3452">
        <w:rPr>
          <w:sz w:val="23"/>
          <w:szCs w:val="23"/>
          <w:lang w:val="hy-AM"/>
        </w:rPr>
        <w:t xml:space="preserve">Վարդենիս </w:t>
      </w:r>
      <w:r w:rsidRPr="00F71AF6">
        <w:rPr>
          <w:sz w:val="23"/>
          <w:szCs w:val="23"/>
          <w:lang w:val="hy-AM"/>
        </w:rPr>
        <w:t>համայնքի ավագանու որոշման նախագծի ընդունման կապակցությամբ</w:t>
      </w:r>
      <w:r w:rsidR="00B954E0">
        <w:rPr>
          <w:sz w:val="23"/>
          <w:szCs w:val="23"/>
          <w:lang w:val="hy-AM"/>
        </w:rPr>
        <w:t xml:space="preserve"> </w:t>
      </w:r>
      <w:r w:rsidR="00CC3452">
        <w:rPr>
          <w:sz w:val="23"/>
          <w:szCs w:val="23"/>
          <w:lang w:val="hy-AM"/>
        </w:rPr>
        <w:t>Վարդենիս</w:t>
      </w:r>
      <w:r w:rsidR="00B954E0">
        <w:rPr>
          <w:sz w:val="23"/>
          <w:szCs w:val="23"/>
          <w:lang w:val="hy-AM"/>
        </w:rPr>
        <w:t xml:space="preserve"> </w:t>
      </w:r>
      <w:r w:rsidRPr="00F71AF6">
        <w:rPr>
          <w:sz w:val="23"/>
          <w:szCs w:val="23"/>
          <w:lang w:val="hy-AM"/>
        </w:rPr>
        <w:t xml:space="preserve"> համայնքի բյուջեում</w:t>
      </w:r>
      <w:r w:rsidR="00B954E0">
        <w:rPr>
          <w:sz w:val="23"/>
          <w:szCs w:val="23"/>
          <w:lang w:val="hy-AM"/>
        </w:rPr>
        <w:t xml:space="preserve"> նախատեսվում է</w:t>
      </w:r>
      <w:r w:rsidRPr="00F71AF6">
        <w:rPr>
          <w:sz w:val="23"/>
          <w:szCs w:val="23"/>
          <w:lang w:val="hy-AM"/>
        </w:rPr>
        <w:t xml:space="preserve"> եկամուտների ավել</w:t>
      </w:r>
      <w:r w:rsidR="00B954E0">
        <w:rPr>
          <w:sz w:val="23"/>
          <w:szCs w:val="23"/>
          <w:lang w:val="hy-AM"/>
        </w:rPr>
        <w:t>ացում։</w:t>
      </w:r>
    </w:p>
    <w:p w14:paraId="590ADAA3" w14:textId="77777777" w:rsidR="00B954E0" w:rsidRPr="00F71AF6" w:rsidRDefault="00B954E0" w:rsidP="00E0299B">
      <w:pPr>
        <w:rPr>
          <w:sz w:val="23"/>
          <w:szCs w:val="23"/>
          <w:lang w:val="hy-AM"/>
        </w:rPr>
      </w:pPr>
    </w:p>
    <w:p w14:paraId="13C2F271" w14:textId="77777777" w:rsidR="00B954E0" w:rsidRPr="00F71AF6" w:rsidRDefault="00B954E0" w:rsidP="00E0299B">
      <w:pPr>
        <w:rPr>
          <w:sz w:val="23"/>
          <w:szCs w:val="23"/>
          <w:lang w:val="hy-AM"/>
        </w:rPr>
      </w:pPr>
    </w:p>
    <w:p w14:paraId="593ACDC2" w14:textId="77777777" w:rsidR="00B954E0" w:rsidRPr="00F71AF6" w:rsidRDefault="00B954E0" w:rsidP="00E0299B">
      <w:pPr>
        <w:rPr>
          <w:sz w:val="23"/>
          <w:szCs w:val="23"/>
          <w:lang w:val="hy-AM"/>
        </w:rPr>
      </w:pPr>
    </w:p>
    <w:p w14:paraId="1EE53A55" w14:textId="67F83028" w:rsidR="00B954E0" w:rsidRDefault="00F7488D" w:rsidP="00E0299B">
      <w:pPr>
        <w:rPr>
          <w:rFonts w:ascii="Sylfaen" w:hAnsi="Sylfaen"/>
          <w:sz w:val="23"/>
          <w:szCs w:val="23"/>
          <w:lang w:val="hy-AM"/>
        </w:rPr>
      </w:pPr>
      <w:r>
        <w:rPr>
          <w:rFonts w:ascii="Sylfaen" w:hAnsi="Sylfaen"/>
          <w:sz w:val="23"/>
          <w:szCs w:val="23"/>
          <w:lang w:val="hy-AM"/>
        </w:rPr>
        <w:t xml:space="preserve">    </w:t>
      </w:r>
    </w:p>
    <w:p w14:paraId="375C5017" w14:textId="77777777" w:rsidR="00F7488D" w:rsidRPr="00F7488D" w:rsidRDefault="00F7488D" w:rsidP="00E0299B">
      <w:pPr>
        <w:rPr>
          <w:rFonts w:ascii="Sylfaen" w:hAnsi="Sylfaen"/>
          <w:sz w:val="23"/>
          <w:szCs w:val="23"/>
          <w:lang w:val="hy-AM"/>
        </w:rPr>
      </w:pPr>
    </w:p>
    <w:p w14:paraId="0A9D860C" w14:textId="620C7C3F" w:rsidR="00E0299B" w:rsidRPr="00F7488D" w:rsidRDefault="00F7488D" w:rsidP="00E0299B">
      <w:pPr>
        <w:rPr>
          <w:rFonts w:ascii="Sylfaen" w:hAnsi="Sylfaen" w:cs="Times New Roman"/>
          <w:lang w:val="hy-AM"/>
        </w:rPr>
      </w:pPr>
      <w:r>
        <w:rPr>
          <w:rFonts w:ascii="Sylfaen" w:hAnsi="Sylfaen"/>
          <w:sz w:val="23"/>
          <w:szCs w:val="23"/>
          <w:lang w:val="hy-AM"/>
        </w:rPr>
        <w:t xml:space="preserve">          </w:t>
      </w:r>
      <w:r w:rsidR="00E0299B">
        <w:rPr>
          <w:sz w:val="23"/>
          <w:szCs w:val="23"/>
        </w:rPr>
        <w:t>ՀԱՄԱՅՆՔԻ ՂԵԿԱՎԱՐ</w:t>
      </w:r>
      <w:r>
        <w:rPr>
          <w:rFonts w:ascii="Sylfaen" w:hAnsi="Sylfaen"/>
          <w:sz w:val="23"/>
          <w:szCs w:val="23"/>
          <w:lang w:val="hy-AM"/>
        </w:rPr>
        <w:t>՝                                                           Ա</w:t>
      </w:r>
      <w:r>
        <w:rPr>
          <w:rFonts w:ascii="Times New Roman" w:hAnsi="Times New Roman" w:cs="Times New Roman"/>
          <w:sz w:val="23"/>
          <w:szCs w:val="23"/>
          <w:lang w:val="hy-AM"/>
        </w:rPr>
        <w:t>․</w:t>
      </w:r>
      <w:r>
        <w:rPr>
          <w:rFonts w:ascii="Sylfaen" w:hAnsi="Sylfaen" w:cs="Times New Roman"/>
          <w:sz w:val="23"/>
          <w:szCs w:val="23"/>
          <w:lang w:val="hy-AM"/>
        </w:rPr>
        <w:t xml:space="preserve">ԽԱՉԱՏՐՅԱՆ </w:t>
      </w:r>
    </w:p>
    <w:sectPr w:rsidR="00E0299B" w:rsidRPr="00F7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C7497"/>
    <w:multiLevelType w:val="hybridMultilevel"/>
    <w:tmpl w:val="E21EA0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2A6D4F"/>
    <w:multiLevelType w:val="hybridMultilevel"/>
    <w:tmpl w:val="3525BF5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C0AF3D"/>
    <w:multiLevelType w:val="hybridMultilevel"/>
    <w:tmpl w:val="A0EF68C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36F0AF"/>
    <w:multiLevelType w:val="hybridMultilevel"/>
    <w:tmpl w:val="A2F6CB1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FB43E5B"/>
    <w:multiLevelType w:val="hybridMultilevel"/>
    <w:tmpl w:val="CDC98B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F9933A"/>
    <w:multiLevelType w:val="hybridMultilevel"/>
    <w:tmpl w:val="3DE4FE7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4E9BCD"/>
    <w:multiLevelType w:val="hybridMultilevel"/>
    <w:tmpl w:val="8582F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5DAE52"/>
    <w:multiLevelType w:val="hybridMultilevel"/>
    <w:tmpl w:val="5103EF3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01"/>
    <w:rsid w:val="000A0D1E"/>
    <w:rsid w:val="00206196"/>
    <w:rsid w:val="002B77DE"/>
    <w:rsid w:val="005F169B"/>
    <w:rsid w:val="009F3C3D"/>
    <w:rsid w:val="00B954E0"/>
    <w:rsid w:val="00CC3452"/>
    <w:rsid w:val="00DD0464"/>
    <w:rsid w:val="00E0299B"/>
    <w:rsid w:val="00E25201"/>
    <w:rsid w:val="00F71AF6"/>
    <w:rsid w:val="00F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2B14"/>
  <w15:chartTrackingRefBased/>
  <w15:docId w15:val="{F73A0FF2-702C-49BF-8D68-26BA1393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99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BC77-4574-4CB9-8ADC-873AA591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Admin</cp:lastModifiedBy>
  <cp:revision>8</cp:revision>
  <cp:lastPrinted>2023-10-27T06:46:00Z</cp:lastPrinted>
  <dcterms:created xsi:type="dcterms:W3CDTF">2022-11-23T08:02:00Z</dcterms:created>
  <dcterms:modified xsi:type="dcterms:W3CDTF">2023-10-27T07:08:00Z</dcterms:modified>
</cp:coreProperties>
</file>